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E7E1" w14:textId="77777777" w:rsidR="000E538B" w:rsidRDefault="00BE7B52" w:rsidP="00BE7B52">
      <w:pPr>
        <w:tabs>
          <w:tab w:val="left" w:pos="288"/>
        </w:tabs>
        <w:suppressAutoHyphens/>
        <w:spacing w:after="100" w:afterAutospacing="1" w:line="240" w:lineRule="atLeast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Example of Work Instructions for </w:t>
      </w:r>
      <w:r w:rsidR="000E538B">
        <w:rPr>
          <w:rFonts w:ascii="Arial" w:eastAsia="Times New Roman" w:hAnsi="Arial" w:cs="Arial"/>
          <w:b/>
        </w:rPr>
        <w:t>Investigation</w:t>
      </w:r>
      <w:r>
        <w:rPr>
          <w:rFonts w:ascii="Arial" w:eastAsia="Times New Roman" w:hAnsi="Arial" w:cs="Arial"/>
          <w:b/>
        </w:rPr>
        <w:t>al Product</w:t>
      </w:r>
      <w:r w:rsidR="000E538B">
        <w:rPr>
          <w:rFonts w:ascii="Arial" w:eastAsia="Times New Roman" w:hAnsi="Arial" w:cs="Arial"/>
          <w:b/>
        </w:rPr>
        <w:t xml:space="preserve"> Accountability</w:t>
      </w:r>
    </w:p>
    <w:p w14:paraId="2FE1833F" w14:textId="77777777" w:rsidR="001F28C9" w:rsidRDefault="001F28C9" w:rsidP="001F28C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1F28C9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  <w:b/>
        </w:rPr>
        <w:t xml:space="preserve"> </w:t>
      </w:r>
      <w:r w:rsidRPr="001F28C9">
        <w:rPr>
          <w:rFonts w:ascii="Arial" w:eastAsia="Times New Roman" w:hAnsi="Arial" w:cs="Arial"/>
          <w:b/>
        </w:rPr>
        <w:t xml:space="preserve"> Investigational Drug </w:t>
      </w:r>
      <w:r w:rsidR="00A870C5" w:rsidRPr="001F28C9">
        <w:rPr>
          <w:rFonts w:ascii="Arial" w:eastAsia="Times New Roman" w:hAnsi="Arial" w:cs="Arial"/>
          <w:b/>
        </w:rPr>
        <w:t>Accountability</w:t>
      </w:r>
    </w:p>
    <w:p w14:paraId="7974DFED" w14:textId="77777777" w:rsidR="001F28C9" w:rsidRPr="001F28C9" w:rsidRDefault="001F28C9" w:rsidP="001F28C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13BF7159" w14:textId="77777777" w:rsidR="000E538B" w:rsidRDefault="000E538B" w:rsidP="001F28C9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</w:rPr>
      </w:pPr>
      <w:r w:rsidRPr="00716261">
        <w:rPr>
          <w:rFonts w:ascii="Arial" w:eastAsia="Times New Roman" w:hAnsi="Arial" w:cs="Arial"/>
          <w:b/>
        </w:rPr>
        <w:t>Prior to Study Start</w:t>
      </w:r>
    </w:p>
    <w:p w14:paraId="326C2CB0" w14:textId="41463ABA" w:rsidR="000E538B" w:rsidRPr="008B66AC" w:rsidRDefault="000E538B" w:rsidP="001F28C9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  <w:b/>
        </w:rPr>
      </w:pPr>
      <w:r w:rsidRPr="008B66AC">
        <w:rPr>
          <w:rFonts w:ascii="Arial" w:eastAsia="Times New Roman" w:hAnsi="Arial" w:cs="Arial"/>
        </w:rPr>
        <w:t xml:space="preserve">Prior to IRB review, contact UNC Health Care Investigational Drug Services to obtain review and sign-off for </w:t>
      </w:r>
      <w:r>
        <w:rPr>
          <w:rFonts w:ascii="Arial" w:eastAsia="Times New Roman" w:hAnsi="Arial" w:cs="Arial"/>
        </w:rPr>
        <w:t xml:space="preserve">a </w:t>
      </w:r>
      <w:r w:rsidRPr="008B66AC">
        <w:rPr>
          <w:rFonts w:ascii="Arial" w:eastAsia="Times New Roman" w:hAnsi="Arial" w:cs="Arial"/>
        </w:rPr>
        <w:t>protocol involving the use of investigational drugs. All Requests for Investigational Drug Services must be made through the UNC Clinical Resource Management System (CRMS) available </w:t>
      </w:r>
      <w:hyperlink r:id="rId5" w:history="1">
        <w:r w:rsidRPr="00986F25">
          <w:rPr>
            <w:rStyle w:val="Hyperlink"/>
            <w:rFonts w:ascii="Arial" w:eastAsia="Times New Roman" w:hAnsi="Arial" w:cs="Arial"/>
          </w:rPr>
          <w:t>here</w:t>
        </w:r>
      </w:hyperlink>
      <w:r w:rsidRPr="008B66AC">
        <w:rPr>
          <w:rFonts w:ascii="Arial" w:eastAsia="Times New Roman" w:hAnsi="Arial" w:cs="Arial"/>
        </w:rPr>
        <w:t>.</w:t>
      </w:r>
    </w:p>
    <w:p w14:paraId="7AFB2F1B" w14:textId="7A3AF42A" w:rsidR="000E538B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100" w:afterAutospacing="1" w:line="240" w:lineRule="atLeast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Confirm IDS is in receipt of the investigational drug prior to beginning the study.</w:t>
      </w:r>
    </w:p>
    <w:p w14:paraId="114B107A" w14:textId="77777777" w:rsidR="000E538B" w:rsidRPr="00811719" w:rsidRDefault="000E538B" w:rsidP="00A870C5">
      <w:pPr>
        <w:pStyle w:val="ListParagraph"/>
        <w:numPr>
          <w:ilvl w:val="1"/>
          <w:numId w:val="1"/>
        </w:numPr>
        <w:suppressAutoHyphens/>
        <w:spacing w:after="100" w:afterAutospacing="1" w:line="240" w:lineRule="atLeast"/>
        <w:ind w:left="990" w:hanging="450"/>
        <w:rPr>
          <w:rFonts w:ascii="Arial" w:eastAsia="Times New Roman" w:hAnsi="Arial" w:cs="Arial"/>
        </w:rPr>
      </w:pPr>
      <w:r w:rsidRPr="00811719">
        <w:rPr>
          <w:rFonts w:ascii="Arial" w:eastAsia="Times New Roman" w:hAnsi="Arial" w:cs="Arial"/>
        </w:rPr>
        <w:t>Communicate discrepancies to the study Sponsor/supplier, if applicable.</w:t>
      </w:r>
    </w:p>
    <w:p w14:paraId="07C3E0EE" w14:textId="77777777" w:rsidR="000E538B" w:rsidRDefault="000E538B" w:rsidP="000E538B">
      <w:pPr>
        <w:pStyle w:val="ListParagraph"/>
        <w:tabs>
          <w:tab w:val="left" w:pos="288"/>
        </w:tabs>
        <w:suppressAutoHyphens/>
        <w:spacing w:after="100" w:afterAutospacing="1" w:line="240" w:lineRule="atLeast"/>
        <w:ind w:left="1080"/>
        <w:rPr>
          <w:rFonts w:ascii="Arial" w:eastAsia="Times New Roman" w:hAnsi="Arial" w:cs="Arial"/>
        </w:rPr>
      </w:pPr>
    </w:p>
    <w:p w14:paraId="0098BE51" w14:textId="77777777" w:rsidR="000E538B" w:rsidRDefault="000E538B" w:rsidP="001F28C9">
      <w:pPr>
        <w:pStyle w:val="ListParagraph"/>
        <w:numPr>
          <w:ilvl w:val="0"/>
          <w:numId w:val="1"/>
        </w:numPr>
        <w:suppressAutoHyphens/>
        <w:spacing w:after="100" w:afterAutospacing="1" w:line="240" w:lineRule="atLeast"/>
        <w:ind w:left="630" w:hanging="27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Investigational Drug Ordering</w:t>
      </w:r>
    </w:p>
    <w:p w14:paraId="7EC9D136" w14:textId="77777777" w:rsidR="000E538B" w:rsidRDefault="000E538B" w:rsidP="000E538B">
      <w:pPr>
        <w:pStyle w:val="ListParagraph"/>
        <w:tabs>
          <w:tab w:val="left" w:pos="288"/>
        </w:tabs>
        <w:suppressAutoHyphens/>
        <w:spacing w:after="100" w:afterAutospacing="1" w:line="240" w:lineRule="atLeast"/>
        <w:ind w:left="360"/>
        <w:rPr>
          <w:rFonts w:ascii="Arial" w:eastAsia="Times New Roman" w:hAnsi="Arial" w:cs="Arial"/>
          <w:b/>
        </w:rPr>
      </w:pPr>
    </w:p>
    <w:p w14:paraId="1F6BEFC5" w14:textId="77777777" w:rsidR="00BE7B52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 w:rsidRPr="00BE7B52">
        <w:rPr>
          <w:rFonts w:ascii="Arial" w:eastAsia="Times New Roman" w:hAnsi="Arial" w:cs="Arial"/>
        </w:rPr>
        <w:t>Follow IDS procedures for protocol-specific order</w:t>
      </w:r>
      <w:r w:rsidR="00BE7B52">
        <w:rPr>
          <w:rFonts w:ascii="Arial" w:eastAsia="Times New Roman" w:hAnsi="Arial" w:cs="Arial"/>
        </w:rPr>
        <w:t>ing of the investigational drug.  This may be done through EPIC or via paper orders.</w:t>
      </w:r>
    </w:p>
    <w:p w14:paraId="0ADA0DD8" w14:textId="77777777" w:rsidR="000E538B" w:rsidRPr="00BE7B52" w:rsidRDefault="00BE7B52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0E538B" w:rsidRPr="00BE7B52">
        <w:rPr>
          <w:rFonts w:ascii="Arial" w:eastAsia="Times New Roman" w:hAnsi="Arial" w:cs="Arial"/>
        </w:rPr>
        <w:t xml:space="preserve">Investigator signing the drug order </w:t>
      </w:r>
      <w:r>
        <w:rPr>
          <w:rFonts w:ascii="Arial" w:eastAsia="Times New Roman" w:hAnsi="Arial" w:cs="Arial"/>
        </w:rPr>
        <w:t>must be listed</w:t>
      </w:r>
      <w:r w:rsidR="000E538B" w:rsidRPr="00BE7B52">
        <w:rPr>
          <w:rFonts w:ascii="Arial" w:eastAsia="Times New Roman" w:hAnsi="Arial" w:cs="Arial"/>
        </w:rPr>
        <w:t xml:space="preserve"> on the Form FDA 1572</w:t>
      </w:r>
      <w:r>
        <w:rPr>
          <w:rFonts w:ascii="Arial" w:eastAsia="Times New Roman" w:hAnsi="Arial" w:cs="Arial"/>
        </w:rPr>
        <w:t xml:space="preserve"> or on the IRB application</w:t>
      </w:r>
      <w:r w:rsidR="000E538B" w:rsidRPr="00BE7B52">
        <w:rPr>
          <w:rFonts w:ascii="Arial" w:eastAsia="Times New Roman" w:hAnsi="Arial" w:cs="Arial"/>
        </w:rPr>
        <w:t xml:space="preserve">. </w:t>
      </w:r>
      <w:r w:rsidR="000E538B" w:rsidRPr="00A870C5">
        <w:rPr>
          <w:rFonts w:ascii="Arial" w:eastAsia="Times New Roman" w:hAnsi="Arial" w:cs="Arial"/>
        </w:rPr>
        <w:t xml:space="preserve">Only qualified individuals (MDs, NPs, PAs) are permitted to </w:t>
      </w:r>
      <w:r w:rsidR="00321A66" w:rsidRPr="00A870C5">
        <w:rPr>
          <w:rFonts w:ascii="Arial" w:eastAsia="Times New Roman" w:hAnsi="Arial" w:cs="Arial"/>
        </w:rPr>
        <w:t>sign drug orders</w:t>
      </w:r>
      <w:r w:rsidRPr="00A870C5">
        <w:rPr>
          <w:rFonts w:ascii="Arial" w:eastAsia="Times New Roman" w:hAnsi="Arial" w:cs="Arial"/>
        </w:rPr>
        <w:t xml:space="preserve">.  </w:t>
      </w:r>
    </w:p>
    <w:p w14:paraId="6A51D090" w14:textId="77777777" w:rsidR="000E538B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 w:rsidRPr="00811719">
        <w:rPr>
          <w:rFonts w:ascii="Arial" w:eastAsia="Times New Roman" w:hAnsi="Arial" w:cs="Arial"/>
        </w:rPr>
        <w:t xml:space="preserve">Confirm </w:t>
      </w:r>
      <w:r w:rsidR="00BE7B52">
        <w:rPr>
          <w:rFonts w:ascii="Arial" w:eastAsia="Times New Roman" w:hAnsi="Arial" w:cs="Arial"/>
        </w:rPr>
        <w:t xml:space="preserve">with IDS </w:t>
      </w:r>
      <w:r>
        <w:rPr>
          <w:rFonts w:ascii="Arial" w:eastAsia="Times New Roman" w:hAnsi="Arial" w:cs="Arial"/>
        </w:rPr>
        <w:t xml:space="preserve">the </w:t>
      </w:r>
      <w:r w:rsidRPr="00811719">
        <w:rPr>
          <w:rFonts w:ascii="Arial" w:eastAsia="Times New Roman" w:hAnsi="Arial" w:cs="Arial"/>
        </w:rPr>
        <w:t xml:space="preserve">investigational drug supply is adequate and within expiration date. </w:t>
      </w:r>
      <w:r w:rsidR="00BE7B52">
        <w:rPr>
          <w:rFonts w:ascii="Arial" w:eastAsia="Times New Roman" w:hAnsi="Arial" w:cs="Arial"/>
        </w:rPr>
        <w:t xml:space="preserve">This will be verified and documented periodically </w:t>
      </w:r>
      <w:r w:rsidRPr="00811719">
        <w:rPr>
          <w:rFonts w:ascii="Arial" w:eastAsia="Times New Roman" w:hAnsi="Arial" w:cs="Arial"/>
        </w:rPr>
        <w:t>throughout the study.</w:t>
      </w:r>
    </w:p>
    <w:p w14:paraId="5FBB0DE3" w14:textId="77777777" w:rsidR="000E538B" w:rsidRDefault="000E538B" w:rsidP="00E91513">
      <w:pPr>
        <w:pStyle w:val="ListParagraph"/>
        <w:tabs>
          <w:tab w:val="left" w:pos="288"/>
        </w:tabs>
        <w:suppressAutoHyphens/>
        <w:spacing w:after="0" w:line="240" w:lineRule="auto"/>
        <w:ind w:left="990"/>
        <w:rPr>
          <w:rFonts w:ascii="Arial" w:eastAsia="Times New Roman" w:hAnsi="Arial" w:cs="Arial"/>
        </w:rPr>
      </w:pPr>
    </w:p>
    <w:p w14:paraId="261094AF" w14:textId="77777777" w:rsidR="000E538B" w:rsidRDefault="000E538B" w:rsidP="00A870C5">
      <w:pPr>
        <w:pStyle w:val="ListParagraph"/>
        <w:numPr>
          <w:ilvl w:val="0"/>
          <w:numId w:val="1"/>
        </w:numPr>
        <w:suppressAutoHyphens/>
        <w:spacing w:after="100" w:afterAutospacing="1" w:line="240" w:lineRule="atLeast"/>
        <w:ind w:left="630" w:hanging="27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Dispensing of Investigational Drug(s)</w:t>
      </w:r>
    </w:p>
    <w:p w14:paraId="6524C188" w14:textId="77777777" w:rsidR="000E538B" w:rsidRDefault="000E538B" w:rsidP="000E538B">
      <w:pPr>
        <w:pStyle w:val="ListParagraph"/>
        <w:tabs>
          <w:tab w:val="left" w:pos="288"/>
        </w:tabs>
        <w:suppressAutoHyphens/>
        <w:spacing w:after="100" w:afterAutospacing="1" w:line="240" w:lineRule="atLeast"/>
        <w:ind w:left="360"/>
        <w:rPr>
          <w:rFonts w:ascii="Arial" w:eastAsia="Times New Roman" w:hAnsi="Arial" w:cs="Arial"/>
          <w:b/>
        </w:rPr>
      </w:pPr>
    </w:p>
    <w:p w14:paraId="4E2174F1" w14:textId="77777777" w:rsidR="000E538B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 w:rsidRPr="00811719">
        <w:rPr>
          <w:rFonts w:ascii="Arial" w:eastAsia="Times New Roman" w:hAnsi="Arial" w:cs="Arial"/>
        </w:rPr>
        <w:t>IDS will dispense the drug in accor</w:t>
      </w:r>
      <w:bookmarkStart w:id="0" w:name="_GoBack"/>
      <w:bookmarkEnd w:id="0"/>
      <w:r w:rsidRPr="00811719">
        <w:rPr>
          <w:rFonts w:ascii="Arial" w:eastAsia="Times New Roman" w:hAnsi="Arial" w:cs="Arial"/>
        </w:rPr>
        <w:t xml:space="preserve">dance with </w:t>
      </w:r>
      <w:r>
        <w:rPr>
          <w:rFonts w:ascii="Arial" w:eastAsia="Times New Roman" w:hAnsi="Arial" w:cs="Arial"/>
        </w:rPr>
        <w:t xml:space="preserve">the </w:t>
      </w:r>
      <w:r w:rsidRPr="00811719">
        <w:rPr>
          <w:rFonts w:ascii="Arial" w:eastAsia="Times New Roman" w:hAnsi="Arial" w:cs="Arial"/>
        </w:rPr>
        <w:t>protocol/pharmacy manual</w:t>
      </w:r>
      <w:r>
        <w:rPr>
          <w:rFonts w:ascii="Arial" w:eastAsia="Times New Roman" w:hAnsi="Arial" w:cs="Arial"/>
        </w:rPr>
        <w:t xml:space="preserve"> requirements.</w:t>
      </w:r>
    </w:p>
    <w:p w14:paraId="74902906" w14:textId="77777777" w:rsidR="00BE7B52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delegated staff member will pick-up the dispensed investigational drug from the designated IDS location. </w:t>
      </w:r>
    </w:p>
    <w:p w14:paraId="5982C576" w14:textId="77777777" w:rsidR="000E538B" w:rsidRDefault="00BE7B52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staff member will v</w:t>
      </w:r>
      <w:r w:rsidR="000E538B">
        <w:rPr>
          <w:rFonts w:ascii="Arial" w:eastAsia="Times New Roman" w:hAnsi="Arial" w:cs="Arial"/>
        </w:rPr>
        <w:t xml:space="preserve">erify the information on the product provided matches the drug order placed. </w:t>
      </w:r>
    </w:p>
    <w:p w14:paraId="08DE2A7E" w14:textId="1C19DA9F" w:rsidR="00BE7B52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staff member </w:t>
      </w:r>
      <w:r w:rsidR="00BE7B52">
        <w:rPr>
          <w:rFonts w:ascii="Arial" w:eastAsia="Times New Roman" w:hAnsi="Arial" w:cs="Arial"/>
        </w:rPr>
        <w:t>will</w:t>
      </w:r>
      <w:r>
        <w:rPr>
          <w:rFonts w:ascii="Arial" w:eastAsia="Times New Roman" w:hAnsi="Arial" w:cs="Arial"/>
        </w:rPr>
        <w:t xml:space="preserve"> provide the investigational product to the study subject with the necessary instructions for using the product</w:t>
      </w:r>
      <w:r w:rsidR="00B965F0">
        <w:rPr>
          <w:rFonts w:ascii="Arial" w:eastAsia="Times New Roman" w:hAnsi="Arial" w:cs="Arial"/>
        </w:rPr>
        <w:t>.</w:t>
      </w:r>
    </w:p>
    <w:p w14:paraId="4E10E975" w14:textId="77777777" w:rsidR="000E538B" w:rsidRPr="00E618AE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applicable, instruct subject to return unused study medications</w:t>
      </w:r>
      <w:r w:rsidR="00BE7B52">
        <w:rPr>
          <w:rFonts w:ascii="Arial" w:eastAsia="Times New Roman" w:hAnsi="Arial" w:cs="Arial"/>
        </w:rPr>
        <w:t xml:space="preserve"> and/or empty containers</w:t>
      </w:r>
      <w:r>
        <w:rPr>
          <w:rFonts w:ascii="Arial" w:eastAsia="Times New Roman" w:hAnsi="Arial" w:cs="Arial"/>
        </w:rPr>
        <w:t xml:space="preserve"> at their next study visit</w:t>
      </w:r>
      <w:r w:rsidR="00BE7B52">
        <w:rPr>
          <w:rFonts w:ascii="Arial" w:eastAsia="Times New Roman" w:hAnsi="Arial" w:cs="Arial"/>
        </w:rPr>
        <w:t xml:space="preserve"> and document in the subject’s study file</w:t>
      </w:r>
      <w:r>
        <w:rPr>
          <w:rFonts w:ascii="Arial" w:eastAsia="Times New Roman" w:hAnsi="Arial" w:cs="Arial"/>
        </w:rPr>
        <w:t>.</w:t>
      </w:r>
    </w:p>
    <w:p w14:paraId="79D9047E" w14:textId="77777777" w:rsidR="000E538B" w:rsidRDefault="000E538B" w:rsidP="000E538B">
      <w:pPr>
        <w:pStyle w:val="ListParagraph"/>
        <w:tabs>
          <w:tab w:val="left" w:pos="288"/>
        </w:tabs>
        <w:suppressAutoHyphens/>
        <w:spacing w:after="100" w:afterAutospacing="1" w:line="240" w:lineRule="atLeast"/>
        <w:ind w:left="1080"/>
        <w:rPr>
          <w:rFonts w:ascii="Arial" w:eastAsia="Times New Roman" w:hAnsi="Arial" w:cs="Arial"/>
        </w:rPr>
      </w:pPr>
    </w:p>
    <w:p w14:paraId="158E518F" w14:textId="77777777" w:rsidR="00BE7B52" w:rsidRDefault="000E538B" w:rsidP="00A870C5">
      <w:pPr>
        <w:pStyle w:val="ListParagraph"/>
        <w:numPr>
          <w:ilvl w:val="0"/>
          <w:numId w:val="1"/>
        </w:numPr>
        <w:suppressAutoHyphens/>
        <w:spacing w:after="100" w:afterAutospacing="1" w:line="240" w:lineRule="atLeast"/>
        <w:ind w:left="630" w:hanging="270"/>
        <w:rPr>
          <w:rFonts w:ascii="Arial" w:eastAsia="Times New Roman" w:hAnsi="Arial" w:cs="Arial"/>
          <w:b/>
        </w:rPr>
      </w:pPr>
      <w:r w:rsidRPr="001C32F6">
        <w:rPr>
          <w:rFonts w:ascii="Arial" w:eastAsia="Times New Roman" w:hAnsi="Arial" w:cs="Arial"/>
          <w:b/>
        </w:rPr>
        <w:t>Drug Return/Accountability</w:t>
      </w:r>
    </w:p>
    <w:p w14:paraId="0FDB9120" w14:textId="77777777" w:rsidR="00BE7B52" w:rsidRPr="00A870C5" w:rsidRDefault="00BE7B52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Contact the subject before the study visit to remind them to bring in their unused medication and/or empty containers.  Document this information in the subject’s study file.</w:t>
      </w:r>
    </w:p>
    <w:p w14:paraId="755B389C" w14:textId="26E4B591" w:rsidR="000E538B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 w:rsidRPr="001C32F6">
        <w:rPr>
          <w:rFonts w:ascii="Arial" w:eastAsia="Times New Roman" w:hAnsi="Arial" w:cs="Arial"/>
        </w:rPr>
        <w:t>A</w:t>
      </w:r>
      <w:r w:rsidR="00BE7B52">
        <w:rPr>
          <w:rFonts w:ascii="Arial" w:eastAsia="Times New Roman" w:hAnsi="Arial" w:cs="Arial"/>
        </w:rPr>
        <w:t xml:space="preserve">t the </w:t>
      </w:r>
      <w:r w:rsidRPr="001C32F6">
        <w:rPr>
          <w:rFonts w:ascii="Arial" w:eastAsia="Times New Roman" w:hAnsi="Arial" w:cs="Arial"/>
        </w:rPr>
        <w:t xml:space="preserve">study visit, </w:t>
      </w:r>
      <w:r>
        <w:rPr>
          <w:rFonts w:ascii="Arial" w:eastAsia="Times New Roman" w:hAnsi="Arial" w:cs="Arial"/>
        </w:rPr>
        <w:t xml:space="preserve">collect unused study drug </w:t>
      </w:r>
      <w:r w:rsidR="00BE7B52">
        <w:rPr>
          <w:rFonts w:ascii="Arial" w:eastAsia="Times New Roman" w:hAnsi="Arial" w:cs="Arial"/>
        </w:rPr>
        <w:t xml:space="preserve">and/or empty containers </w:t>
      </w:r>
      <w:r>
        <w:rPr>
          <w:rFonts w:ascii="Arial" w:eastAsia="Times New Roman" w:hAnsi="Arial" w:cs="Arial"/>
        </w:rPr>
        <w:t>per protocol. If applicable, review the subject’s drug diary and count the returned study drug quantity to verify subject compliance</w:t>
      </w:r>
      <w:r w:rsidR="00B965F0">
        <w:rPr>
          <w:rFonts w:ascii="Arial" w:eastAsia="Times New Roman" w:hAnsi="Arial" w:cs="Arial"/>
        </w:rPr>
        <w:t>.</w:t>
      </w:r>
    </w:p>
    <w:p w14:paraId="4797BD85" w14:textId="77777777" w:rsidR="000E538B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Document any discrepancies in drug accountability and re-educate subjects on proper instructions for use of the investigational drug, if applicable.</w:t>
      </w:r>
    </w:p>
    <w:p w14:paraId="234E731B" w14:textId="77777777" w:rsidR="000E538B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Return the unused drug to IDS.</w:t>
      </w:r>
    </w:p>
    <w:p w14:paraId="13A299D8" w14:textId="77777777" w:rsidR="000E538B" w:rsidRDefault="000E538B" w:rsidP="000E538B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5FF4AE70" w14:textId="77777777" w:rsidR="000E538B" w:rsidRDefault="000E538B" w:rsidP="000E538B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CD44A4">
        <w:rPr>
          <w:rFonts w:ascii="Arial" w:eastAsia="Times New Roman" w:hAnsi="Arial" w:cs="Arial"/>
          <w:b/>
        </w:rPr>
        <w:t>II.  Investigational Device Accountability</w:t>
      </w:r>
    </w:p>
    <w:p w14:paraId="48D4D6A7" w14:textId="77777777" w:rsidR="00A870C5" w:rsidRDefault="00A870C5" w:rsidP="000E538B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283BA7F3" w14:textId="77777777" w:rsidR="000E538B" w:rsidRPr="00E618AE" w:rsidRDefault="000E538B" w:rsidP="00A870C5">
      <w:pPr>
        <w:pStyle w:val="ListParagraph"/>
        <w:numPr>
          <w:ilvl w:val="1"/>
          <w:numId w:val="1"/>
        </w:numPr>
        <w:tabs>
          <w:tab w:val="left" w:pos="288"/>
        </w:tabs>
        <w:suppressAutoHyphens/>
        <w:spacing w:after="0" w:line="240" w:lineRule="auto"/>
        <w:ind w:left="99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Follow UNC Health Care’s Investigational Devices Policy for Investigational Device Accountability. The policy can be found on the UNC Health Care Intranet or on </w:t>
      </w:r>
      <w:hyperlink r:id="rId6" w:history="1">
        <w:r w:rsidRPr="00986F25">
          <w:rPr>
            <w:rStyle w:val="Hyperlink"/>
            <w:rFonts w:ascii="Arial" w:eastAsia="Times New Roman" w:hAnsi="Arial" w:cs="Arial"/>
          </w:rPr>
          <w:t>Research Central</w:t>
        </w:r>
      </w:hyperlink>
      <w:r>
        <w:rPr>
          <w:rFonts w:ascii="Arial" w:eastAsia="Times New Roman" w:hAnsi="Arial" w:cs="Arial"/>
        </w:rPr>
        <w:t xml:space="preserve">. </w:t>
      </w:r>
    </w:p>
    <w:sectPr w:rsidR="000E538B" w:rsidRPr="00E618AE" w:rsidSect="00A870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7F79"/>
    <w:multiLevelType w:val="hybridMultilevel"/>
    <w:tmpl w:val="5C0CD57A"/>
    <w:lvl w:ilvl="0" w:tplc="6C86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81A"/>
    <w:multiLevelType w:val="hybridMultilevel"/>
    <w:tmpl w:val="4A0AF57A"/>
    <w:lvl w:ilvl="0" w:tplc="BFAA6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5D66"/>
    <w:multiLevelType w:val="hybridMultilevel"/>
    <w:tmpl w:val="0BE00270"/>
    <w:lvl w:ilvl="0" w:tplc="2546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93"/>
    <w:rsid w:val="00041370"/>
    <w:rsid w:val="000E538B"/>
    <w:rsid w:val="001F28C9"/>
    <w:rsid w:val="00321A66"/>
    <w:rsid w:val="005433A1"/>
    <w:rsid w:val="005E0E1C"/>
    <w:rsid w:val="00862E4F"/>
    <w:rsid w:val="008B0757"/>
    <w:rsid w:val="00A072BF"/>
    <w:rsid w:val="00A870C5"/>
    <w:rsid w:val="00B36B93"/>
    <w:rsid w:val="00B965F0"/>
    <w:rsid w:val="00BE7B52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192C"/>
  <w15:chartTrackingRefBased/>
  <w15:docId w15:val="{616715A4-1D66-4527-A152-6AB3B24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3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7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bis.research.unc.edu/crms/researchcentral/" TargetMode="External"/><Relationship Id="rId5" Type="http://schemas.openxmlformats.org/officeDocument/2006/relationships/hyperlink" Target="https://irbis.research.unc.edu/c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Valorie</dc:creator>
  <cp:keywords/>
  <dc:description/>
  <cp:lastModifiedBy>Buchholz, Valorie</cp:lastModifiedBy>
  <cp:revision>2</cp:revision>
  <dcterms:created xsi:type="dcterms:W3CDTF">2019-04-23T16:53:00Z</dcterms:created>
  <dcterms:modified xsi:type="dcterms:W3CDTF">2019-04-23T16:53:00Z</dcterms:modified>
</cp:coreProperties>
</file>